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635"/>
      </w:tblGrid>
      <w:tr w:rsidR="00883DE2" w:rsidRPr="000F0940" w:rsidTr="0025281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3DE2" w:rsidRPr="000F0940" w:rsidRDefault="00883DE2" w:rsidP="0025281B">
            <w:pPr>
              <w:jc w:val="both"/>
            </w:pPr>
            <w:r w:rsidRPr="00845E8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07B0710" wp14:editId="4ACABE10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5715</wp:posOffset>
                  </wp:positionV>
                  <wp:extent cx="2428875" cy="914400"/>
                  <wp:effectExtent l="0" t="0" r="9525" b="0"/>
                  <wp:wrapNone/>
                  <wp:docPr id="1" name="Рисунок 0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83DE2" w:rsidRPr="000F0940" w:rsidRDefault="00883DE2" w:rsidP="0025281B">
            <w:pPr>
              <w:jc w:val="right"/>
            </w:pPr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3.25pt" o:ole="">
                  <v:imagedata r:id="rId9" o:title=""/>
                </v:shape>
                <o:OLEObject Type="Embed" ProgID="CorelDRAW.Graphic.12" ShapeID="_x0000_i1025" DrawAspect="Content" ObjectID="_1691307013" r:id="rId10"/>
              </w:object>
            </w:r>
          </w:p>
        </w:tc>
      </w:tr>
    </w:tbl>
    <w:p w:rsidR="00883DE2" w:rsidRDefault="00883DE2" w:rsidP="00883DE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83DE2" w:rsidRDefault="00883DE2" w:rsidP="00883DE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83DE2" w:rsidRPr="000F0940" w:rsidRDefault="00883DE2" w:rsidP="00883DE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83DE2" w:rsidRPr="000F0940" w:rsidRDefault="00883DE2" w:rsidP="00883DE2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83DE2" w:rsidRPr="000729FD" w:rsidRDefault="00883DE2" w:rsidP="00883DE2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883DE2" w:rsidRPr="009856D1" w:rsidRDefault="00883DE2" w:rsidP="00883DE2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XXXV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туристском слете</w:t>
      </w:r>
    </w:p>
    <w:p w:rsidR="00883DE2" w:rsidRPr="000F0940" w:rsidRDefault="00883DE2" w:rsidP="00883DE2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образовательных организаций г. Сочи</w:t>
      </w:r>
    </w:p>
    <w:p w:rsidR="00883DE2" w:rsidRPr="000F0940" w:rsidRDefault="00883DE2" w:rsidP="00883D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Общая информация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883DE2" w:rsidRPr="000F0940" w:rsidRDefault="00883DE2" w:rsidP="00883D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883DE2" w:rsidRPr="00012EF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</w:t>
      </w:r>
    </w:p>
    <w:p w:rsidR="00883DE2" w:rsidRPr="00012EF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образованию и науке администрации г. Сочи, Сочинский городской комитет Профсоюза работников народного образования и науки РФ, Центр детского и юношеского туризма и экскурсий г. Сочи (далее - Центр). Главный судья – директор Центра детского и юношеского туризма и экскурсий г. Сочи </w:t>
      </w:r>
      <w:proofErr w:type="spellStart"/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Искаков</w:t>
      </w:r>
      <w:proofErr w:type="spellEnd"/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</w:t>
      </w:r>
      <w:proofErr w:type="spellEnd"/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Рафаэльевич</w:t>
      </w:r>
      <w:proofErr w:type="spellEnd"/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E2" w:rsidRPr="00012EF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</w:t>
      </w:r>
    </w:p>
    <w:p w:rsidR="00883DE2" w:rsidRPr="00012EF0" w:rsidRDefault="00883DE2" w:rsidP="00980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туристско-краеведческой деятельности работников образовательных </w:t>
      </w:r>
      <w:r w:rsidR="00A70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ий;</w:t>
      </w:r>
    </w:p>
    <w:p w:rsidR="00883DE2" w:rsidRPr="00012EF0" w:rsidRDefault="00883DE2" w:rsidP="00980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обобщение и пропаганда передового опыта туристско-краеведческой работы </w:t>
      </w:r>
      <w:r w:rsidR="00A70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образования г. Сочи;</w:t>
      </w:r>
    </w:p>
    <w:p w:rsidR="00883DE2" w:rsidRPr="00012EF0" w:rsidRDefault="00883DE2" w:rsidP="00980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молодых педагогов в жизнь и деятельность Сочинской городской территориальной организации Профсоюза работников народного образования и науки РФ;</w:t>
      </w:r>
    </w:p>
    <w:p w:rsidR="00883DE2" w:rsidRPr="00012EF0" w:rsidRDefault="00883DE2" w:rsidP="00980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="009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туристского мастерства педагогов образовательных учреждений;</w:t>
      </w:r>
    </w:p>
    <w:p w:rsidR="00883DE2" w:rsidRDefault="00883DE2" w:rsidP="00980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F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формирование культуры здорового образа жизни</w:t>
      </w:r>
      <w:r w:rsidR="00980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E2" w:rsidRPr="000F094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83DE2" w:rsidRPr="000F0940" w:rsidRDefault="00883DE2" w:rsidP="00883D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Состав Главной судейской коллегии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.   </w:t>
      </w:r>
    </w:p>
    <w:p w:rsidR="00883DE2" w:rsidRPr="000F0940" w:rsidRDefault="00883DE2" w:rsidP="00883D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252"/>
      </w:tblGrid>
      <w:tr w:rsidR="00883DE2" w:rsidTr="0025281B">
        <w:tc>
          <w:tcPr>
            <w:tcW w:w="959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252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</w:tr>
      <w:tr w:rsidR="00883DE2" w:rsidTr="0025281B">
        <w:tc>
          <w:tcPr>
            <w:tcW w:w="959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4252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Рафаэльевич</w:t>
            </w:r>
            <w:proofErr w:type="spellEnd"/>
          </w:p>
        </w:tc>
      </w:tr>
      <w:tr w:rsidR="00883DE2" w:rsidTr="0025281B">
        <w:tc>
          <w:tcPr>
            <w:tcW w:w="959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4252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</w:tr>
      <w:tr w:rsidR="00883DE2" w:rsidTr="0025281B">
        <w:tc>
          <w:tcPr>
            <w:tcW w:w="959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 судейству</w:t>
            </w:r>
          </w:p>
        </w:tc>
        <w:tc>
          <w:tcPr>
            <w:tcW w:w="4252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Ольга Валентиновна</w:t>
            </w:r>
          </w:p>
        </w:tc>
      </w:tr>
      <w:tr w:rsidR="00883DE2" w:rsidTr="0025281B">
        <w:tc>
          <w:tcPr>
            <w:tcW w:w="959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 вида</w:t>
            </w:r>
          </w:p>
        </w:tc>
        <w:tc>
          <w:tcPr>
            <w:tcW w:w="4252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Евгений Иванович</w:t>
            </w:r>
          </w:p>
        </w:tc>
      </w:tr>
      <w:tr w:rsidR="00883DE2" w:rsidTr="0025281B">
        <w:tc>
          <w:tcPr>
            <w:tcW w:w="959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83DE2" w:rsidRDefault="00883DE2" w:rsidP="0025281B">
            <w:r w:rsidRPr="00151CBF">
              <w:rPr>
                <w:sz w:val="24"/>
                <w:szCs w:val="24"/>
              </w:rPr>
              <w:t>Главный судья вида</w:t>
            </w:r>
          </w:p>
        </w:tc>
        <w:tc>
          <w:tcPr>
            <w:tcW w:w="4252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Гоголадзе Светлана Григорьевна</w:t>
            </w:r>
          </w:p>
        </w:tc>
      </w:tr>
      <w:tr w:rsidR="00883DE2" w:rsidTr="0025281B">
        <w:tc>
          <w:tcPr>
            <w:tcW w:w="959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83DE2" w:rsidRDefault="00883DE2" w:rsidP="0025281B">
            <w:r w:rsidRPr="00151CBF">
              <w:rPr>
                <w:sz w:val="24"/>
                <w:szCs w:val="24"/>
              </w:rPr>
              <w:t>Главный судья вида</w:t>
            </w:r>
          </w:p>
        </w:tc>
        <w:tc>
          <w:tcPr>
            <w:tcW w:w="4252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Авакян Карлос Сарибекович</w:t>
            </w:r>
          </w:p>
        </w:tc>
      </w:tr>
      <w:tr w:rsidR="00883DE2" w:rsidTr="0025281B">
        <w:tc>
          <w:tcPr>
            <w:tcW w:w="959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 вида</w:t>
            </w:r>
          </w:p>
        </w:tc>
        <w:tc>
          <w:tcPr>
            <w:tcW w:w="4252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Анастасия Юрьевна</w:t>
            </w:r>
          </w:p>
        </w:tc>
      </w:tr>
      <w:tr w:rsidR="00883DE2" w:rsidTr="0025281B">
        <w:tc>
          <w:tcPr>
            <w:tcW w:w="959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 вида</w:t>
            </w:r>
          </w:p>
        </w:tc>
        <w:tc>
          <w:tcPr>
            <w:tcW w:w="4252" w:type="dxa"/>
          </w:tcPr>
          <w:p w:rsidR="00883DE2" w:rsidRDefault="00883DE2" w:rsidP="002528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Мисакян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sz w:val="24"/>
                <w:szCs w:val="24"/>
              </w:rPr>
              <w:t>Айказович</w:t>
            </w:r>
            <w:proofErr w:type="spellEnd"/>
          </w:p>
        </w:tc>
      </w:tr>
    </w:tbl>
    <w:p w:rsidR="00883DE2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E2" w:rsidRPr="000F094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E2" w:rsidRPr="000F094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83DE2" w:rsidRPr="000F0940" w:rsidRDefault="00883DE2" w:rsidP="00883D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Время и место проведения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883DE2" w:rsidRDefault="00883DE2" w:rsidP="0088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– 26 сентября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проведения соревнований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Адлерский р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турбаза «Белая Ах-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07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проживание в полевых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E2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83DE2" w:rsidRPr="000F094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83DE2" w:rsidRPr="000F0940" w:rsidRDefault="00883DE2" w:rsidP="00883D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Требования к участникам, условия их допуска и обеспечение безопасности. </w:t>
      </w:r>
    </w:p>
    <w:p w:rsidR="00883DE2" w:rsidRPr="0003558C" w:rsidRDefault="00883DE2" w:rsidP="00883DE2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слете допускаются сотрудники образовательных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 г. Сочи,  сформированные в 4</w:t>
      </w:r>
      <w:r w:rsidRPr="000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3-х сотрудников от одной образовательной организации</w:t>
      </w:r>
      <w:r w:rsidRPr="000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– руководитель, заместитель,  участники.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 и совместители) распределяются по командам по итогам принудительной жеребьевки 3 сентября, после чего выбирают р</w:t>
      </w:r>
      <w:r w:rsidRPr="000355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заместителей. Д</w:t>
      </w:r>
      <w:r w:rsidRPr="000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выданы </w:t>
      </w:r>
      <w:r w:rsidR="00A7028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7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совещании сотрудников </w:t>
      </w:r>
      <w:proofErr w:type="spellStart"/>
      <w:r w:rsidR="00A70288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DE2" w:rsidRDefault="00883DE2" w:rsidP="00883DE2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должны иметь элементы единой формы (футболки,  шапочки, галстуки и пр. по усмотрению команды), а так же групповое и личное снаряжение для </w:t>
      </w:r>
      <w:r w:rsidR="009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полевого </w:t>
      </w:r>
      <w:r w:rsidR="00980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туристского быта и участия в соревнованиях и конкурсах слета </w:t>
      </w:r>
      <w:r w:rsidRPr="000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(Дополнительные условия</w:t>
      </w:r>
      <w:r w:rsidR="000C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bookmarkStart w:id="0" w:name="_GoBack"/>
      <w:bookmarkEnd w:id="0"/>
      <w:r w:rsidR="000C2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Pr="0003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883DE2" w:rsidRPr="000F0940" w:rsidRDefault="00883DE2" w:rsidP="00883DE2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Каждый участник слета несет ответственность за свою жизнь и здоровье</w:t>
      </w:r>
      <w:r w:rsidRPr="000F09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</w:p>
    <w:p w:rsidR="00883DE2" w:rsidRPr="000F0940" w:rsidRDefault="00883DE2" w:rsidP="0088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Безопасность на дистанциях соревнований обеспечива</w:t>
      </w:r>
      <w:r w:rsidR="009808A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ю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т ГСК и профессиональные спасатели.</w:t>
      </w:r>
    </w:p>
    <w:p w:rsidR="00883DE2" w:rsidRPr="000F094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83DE2" w:rsidRPr="000F0940" w:rsidRDefault="00883DE2" w:rsidP="00883D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Программа.</w:t>
      </w:r>
    </w:p>
    <w:p w:rsidR="00883DE2" w:rsidRPr="000F0940" w:rsidRDefault="00883DE2" w:rsidP="00883D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24 сентября</w:t>
      </w:r>
    </w:p>
    <w:p w:rsidR="00883DE2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 17:00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Заезд команд.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Регистрация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883DE2" w:rsidRPr="000F0940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17:30 – Совещание с руководителями команд</w:t>
      </w:r>
    </w:p>
    <w:p w:rsidR="00883DE2" w:rsidRPr="000F0940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18:00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03558C">
        <w:rPr>
          <w:rFonts w:ascii="Times New Roman" w:eastAsia="Times New Roman" w:hAnsi="Times New Roman" w:cs="Times New Roman"/>
          <w:sz w:val="24"/>
          <w:szCs w:val="20"/>
          <w:lang w:eastAsia="ru-RU"/>
        </w:rPr>
        <w:t>ткрытие слета, конкурсная программа</w:t>
      </w:r>
    </w:p>
    <w:p w:rsidR="00883DE2" w:rsidRPr="000F0940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83DE2" w:rsidRPr="00655FE9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3558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25</w:t>
      </w:r>
      <w:r w:rsidRPr="00655FE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сентября</w:t>
      </w:r>
    </w:p>
    <w:p w:rsidR="00883DE2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07: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 </w:t>
      </w:r>
      <w:r w:rsidRPr="000355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Продолжение программы слета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83DE2" w:rsidRPr="00341E5A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41E5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26</w:t>
      </w:r>
      <w:r w:rsidRPr="00341E5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сентябр</w:t>
      </w:r>
      <w:r w:rsidRPr="00341E5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я</w:t>
      </w:r>
    </w:p>
    <w:p w:rsidR="00883DE2" w:rsidRPr="00843073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11:00 – </w:t>
      </w: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Продолжение программы слета</w:t>
      </w:r>
    </w:p>
    <w:p w:rsidR="00883DE2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>до 15.00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Закрытие соревнований. Награждение. Отъезд</w:t>
      </w:r>
    </w:p>
    <w:p w:rsidR="00883DE2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3DE2" w:rsidRPr="00843073" w:rsidRDefault="00883DE2" w:rsidP="0088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30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виды:</w:t>
      </w:r>
    </w:p>
    <w:p w:rsidR="00883DE2" w:rsidRPr="00843073" w:rsidRDefault="00883DE2" w:rsidP="0088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964"/>
        <w:gridCol w:w="3064"/>
      </w:tblGrid>
      <w:tr w:rsidR="00883DE2" w:rsidRPr="00843073" w:rsidTr="0025281B">
        <w:trPr>
          <w:jc w:val="center"/>
        </w:trPr>
        <w:tc>
          <w:tcPr>
            <w:tcW w:w="79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4" w:type="dxa"/>
          </w:tcPr>
          <w:p w:rsidR="00883DE2" w:rsidRPr="00843073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вида</w:t>
            </w:r>
          </w:p>
        </w:tc>
        <w:tc>
          <w:tcPr>
            <w:tcW w:w="3064" w:type="dxa"/>
          </w:tcPr>
          <w:p w:rsidR="00883DE2" w:rsidRPr="00843073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команды</w:t>
            </w:r>
          </w:p>
        </w:tc>
      </w:tr>
      <w:tr w:rsidR="00883DE2" w:rsidRPr="00843073" w:rsidTr="0025281B">
        <w:trPr>
          <w:jc w:val="center"/>
        </w:trPr>
        <w:tc>
          <w:tcPr>
            <w:tcW w:w="79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</w:tcPr>
          <w:p w:rsidR="00883DE2" w:rsidRPr="00843073" w:rsidRDefault="00883DE2" w:rsidP="0025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водного туризма</w:t>
            </w:r>
          </w:p>
        </w:tc>
        <w:tc>
          <w:tcPr>
            <w:tcW w:w="306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условиям</w:t>
            </w:r>
          </w:p>
        </w:tc>
      </w:tr>
      <w:tr w:rsidR="00883DE2" w:rsidRPr="00843073" w:rsidTr="0025281B">
        <w:trPr>
          <w:jc w:val="center"/>
        </w:trPr>
        <w:tc>
          <w:tcPr>
            <w:tcW w:w="79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83DE2" w:rsidRPr="00843073" w:rsidRDefault="00883DE2" w:rsidP="0025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навыки</w:t>
            </w:r>
          </w:p>
        </w:tc>
        <w:tc>
          <w:tcPr>
            <w:tcW w:w="306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условиям</w:t>
            </w:r>
          </w:p>
        </w:tc>
      </w:tr>
      <w:tr w:rsidR="00883DE2" w:rsidRPr="00843073" w:rsidTr="0025281B">
        <w:trPr>
          <w:jc w:val="center"/>
        </w:trPr>
        <w:tc>
          <w:tcPr>
            <w:tcW w:w="79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4" w:type="dxa"/>
          </w:tcPr>
          <w:p w:rsidR="00883DE2" w:rsidRPr="00843073" w:rsidRDefault="00883DE2" w:rsidP="0025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306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условиям</w:t>
            </w:r>
          </w:p>
        </w:tc>
      </w:tr>
      <w:tr w:rsidR="00883DE2" w:rsidRPr="00843073" w:rsidTr="0025281B">
        <w:trPr>
          <w:jc w:val="center"/>
        </w:trPr>
        <w:tc>
          <w:tcPr>
            <w:tcW w:w="79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4" w:type="dxa"/>
          </w:tcPr>
          <w:p w:rsidR="00883DE2" w:rsidRPr="00843073" w:rsidRDefault="00883DE2" w:rsidP="0025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Туристско-спортивная полоса</w:t>
            </w:r>
          </w:p>
        </w:tc>
        <w:tc>
          <w:tcPr>
            <w:tcW w:w="306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условиям</w:t>
            </w:r>
          </w:p>
        </w:tc>
      </w:tr>
      <w:tr w:rsidR="00883DE2" w:rsidRPr="00843073" w:rsidTr="0025281B">
        <w:trPr>
          <w:jc w:val="center"/>
        </w:trPr>
        <w:tc>
          <w:tcPr>
            <w:tcW w:w="79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4" w:type="dxa"/>
          </w:tcPr>
          <w:p w:rsidR="00883DE2" w:rsidRPr="00843073" w:rsidRDefault="00883DE2" w:rsidP="0025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 туристский маршрут</w:t>
            </w:r>
          </w:p>
        </w:tc>
        <w:tc>
          <w:tcPr>
            <w:tcW w:w="3064" w:type="dxa"/>
          </w:tcPr>
          <w:p w:rsidR="00883DE2" w:rsidRPr="00843073" w:rsidRDefault="00883DE2" w:rsidP="0025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условиям</w:t>
            </w:r>
          </w:p>
        </w:tc>
      </w:tr>
    </w:tbl>
    <w:p w:rsidR="00883DE2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3DE2" w:rsidRPr="000F0940" w:rsidRDefault="00883DE2" w:rsidP="00883D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83DE2" w:rsidRPr="000F0940" w:rsidRDefault="00883DE2" w:rsidP="00883D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883DE2" w:rsidRPr="000F0940" w:rsidRDefault="00883DE2" w:rsidP="00883D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подведения итогов и награждение.</w:t>
      </w:r>
    </w:p>
    <w:p w:rsidR="00883DE2" w:rsidRPr="00843073" w:rsidRDefault="00883DE2" w:rsidP="00883DE2">
      <w:pPr>
        <w:spacing w:after="0" w:line="240" w:lineRule="auto"/>
        <w:ind w:firstLine="284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843073">
        <w:rPr>
          <w:rFonts w:ascii="Times New Roman" w:eastAsia="Calibri" w:hAnsi="Times New Roman" w:cs="Tahoma"/>
          <w:color w:val="000000"/>
          <w:sz w:val="24"/>
          <w:szCs w:val="24"/>
        </w:rPr>
        <w:t xml:space="preserve">Победитель определяется по наименьшей сумме мест, занятых  во всех видах программы. Команда, принявшая участие 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>не во вс</w:t>
      </w:r>
      <w:r w:rsidRPr="00843073">
        <w:rPr>
          <w:rFonts w:ascii="Times New Roman" w:eastAsia="Calibri" w:hAnsi="Times New Roman" w:cs="Tahoma"/>
          <w:color w:val="000000"/>
          <w:sz w:val="24"/>
          <w:szCs w:val="24"/>
        </w:rPr>
        <w:t>ех видах, занимает место после команд, имеющих полный зачет. При равенстве суммы мест предпочтение отдается команде, занявшей высшее место в виде «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>Контрольно – туристский маршрут</w:t>
      </w:r>
      <w:r w:rsidRPr="00843073">
        <w:rPr>
          <w:rFonts w:ascii="Times New Roman" w:eastAsia="Calibri" w:hAnsi="Times New Roman" w:cs="Tahoma"/>
          <w:color w:val="000000"/>
          <w:sz w:val="24"/>
          <w:szCs w:val="24"/>
        </w:rPr>
        <w:t>».</w:t>
      </w:r>
    </w:p>
    <w:p w:rsidR="00883DE2" w:rsidRPr="00843073" w:rsidRDefault="00883DE2" w:rsidP="00883DE2">
      <w:pPr>
        <w:spacing w:after="0" w:line="240" w:lineRule="auto"/>
        <w:ind w:firstLine="284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843073">
        <w:rPr>
          <w:rFonts w:ascii="Times New Roman" w:eastAsia="Calibri" w:hAnsi="Times New Roman" w:cs="Tahoma"/>
          <w:color w:val="000000"/>
          <w:sz w:val="24"/>
          <w:szCs w:val="24"/>
        </w:rPr>
        <w:t>Победитель  награждается грамот</w:t>
      </w:r>
      <w:r w:rsidR="009808A0">
        <w:rPr>
          <w:rFonts w:ascii="Times New Roman" w:eastAsia="Calibri" w:hAnsi="Times New Roman" w:cs="Tahoma"/>
          <w:color w:val="000000"/>
          <w:sz w:val="24"/>
          <w:szCs w:val="24"/>
        </w:rPr>
        <w:t>ами</w:t>
      </w:r>
      <w:r w:rsidRPr="00843073">
        <w:rPr>
          <w:rFonts w:ascii="Times New Roman" w:eastAsia="Calibri" w:hAnsi="Times New Roman" w:cs="Tahoma"/>
          <w:color w:val="000000"/>
          <w:sz w:val="24"/>
          <w:szCs w:val="24"/>
        </w:rPr>
        <w:t xml:space="preserve"> УОН, СГТО профсоюза</w:t>
      </w:r>
      <w:r w:rsidR="009808A0">
        <w:rPr>
          <w:rFonts w:ascii="Times New Roman" w:eastAsia="Calibri" w:hAnsi="Times New Roman" w:cs="Tahoma"/>
          <w:color w:val="000000"/>
          <w:sz w:val="24"/>
          <w:szCs w:val="24"/>
        </w:rPr>
        <w:t>,</w:t>
      </w:r>
      <w:r w:rsidRPr="00843073">
        <w:rPr>
          <w:rFonts w:ascii="Times New Roman" w:eastAsia="Calibri" w:hAnsi="Times New Roman" w:cs="Tahoma"/>
          <w:color w:val="000000"/>
          <w:sz w:val="24"/>
          <w:szCs w:val="24"/>
        </w:rPr>
        <w:t xml:space="preserve"> переходящим кубком и ценным призом.</w:t>
      </w:r>
    </w:p>
    <w:p w:rsidR="00883DE2" w:rsidRPr="000F094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DE2" w:rsidRPr="000F0940" w:rsidRDefault="00883DE2" w:rsidP="00883D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финансирования.</w:t>
      </w:r>
    </w:p>
    <w:p w:rsidR="00883DE2" w:rsidRPr="000F0940" w:rsidRDefault="00883DE2" w:rsidP="0088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организации и проведению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и привлеченных спонсорских средств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883DE2" w:rsidRPr="000F094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DE2" w:rsidRPr="000F0940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DE2" w:rsidRPr="000F0940" w:rsidRDefault="00883DE2" w:rsidP="00883D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Заявки на участие.</w:t>
      </w:r>
    </w:p>
    <w:p w:rsidR="00883DE2" w:rsidRPr="00843073" w:rsidRDefault="00883DE2" w:rsidP="00883D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</w:t>
      </w:r>
      <w:r w:rsidR="00D069C7">
        <w:rPr>
          <w:rFonts w:ascii="Times New Roman" w:eastAsia="Times New Roman" w:hAnsi="Times New Roman" w:cs="Times New Roman"/>
          <w:sz w:val="24"/>
          <w:szCs w:val="20"/>
          <w:lang w:eastAsia="ru-RU"/>
        </w:rPr>
        <w:t>ые</w:t>
      </w: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заявк</w:t>
      </w:r>
      <w:r w:rsidR="00D069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на участие в слете от образовательных организаций </w:t>
      </w: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D069C7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№ 1) пода</w:t>
      </w:r>
      <w:r w:rsidR="00D069C7"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электронную почту iskakovr@mail.ru до </w:t>
      </w:r>
      <w:r w:rsidR="00D069C7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сентября 2021г.  </w:t>
      </w:r>
    </w:p>
    <w:p w:rsidR="00883DE2" w:rsidRPr="00843073" w:rsidRDefault="00883DE2" w:rsidP="00883D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мандатную комиссию слета 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сентября предоставляются:</w:t>
      </w:r>
    </w:p>
    <w:p w:rsidR="00883DE2" w:rsidRPr="00843073" w:rsidRDefault="00883DE2" w:rsidP="00883D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Именная заявка (приложение  2). </w:t>
      </w:r>
    </w:p>
    <w:p w:rsidR="00883DE2" w:rsidRPr="00843073" w:rsidRDefault="00883DE2" w:rsidP="00883D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Приказ ОО на командирование каждого участника.</w:t>
      </w:r>
    </w:p>
    <w:p w:rsidR="00883DE2" w:rsidRPr="00843073" w:rsidRDefault="00883DE2" w:rsidP="00883D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>ГСК оставляет за собой право при необходимости вносить изменения в данное положение.</w:t>
      </w:r>
    </w:p>
    <w:p w:rsidR="00883DE2" w:rsidRPr="00843073" w:rsidRDefault="00883DE2" w:rsidP="00883D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Данное положение является официальным вызовом на туристский слет работников образовательных организаций г. Сочи</w:t>
      </w:r>
    </w:p>
    <w:p w:rsidR="00883DE2" w:rsidRPr="00843073" w:rsidRDefault="00883DE2" w:rsidP="00883D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3DE2" w:rsidRPr="00843073" w:rsidRDefault="00883DE2" w:rsidP="00883D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Справки и консультации можно получить по телефонам</w:t>
      </w:r>
    </w:p>
    <w:p w:rsidR="00883DE2" w:rsidRPr="000F0940" w:rsidRDefault="00883DE2" w:rsidP="00883D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43073">
        <w:rPr>
          <w:rFonts w:ascii="Times New Roman" w:eastAsia="Times New Roman" w:hAnsi="Times New Roman" w:cs="Times New Roman"/>
          <w:sz w:val="24"/>
          <w:szCs w:val="20"/>
          <w:lang w:eastAsia="ru-RU"/>
        </w:rPr>
        <w:t>262-26-46,  262-14-15</w:t>
      </w:r>
    </w:p>
    <w:p w:rsidR="00883DE2" w:rsidRPr="000F0940" w:rsidRDefault="00883DE2" w:rsidP="00883DE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9721F1" w:rsidRDefault="009721F1" w:rsidP="00883D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21F1" w:rsidRDefault="009721F1" w:rsidP="00883D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3DE2" w:rsidRPr="00D96C57" w:rsidRDefault="00883DE2" w:rsidP="00883D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1.</w:t>
      </w:r>
    </w:p>
    <w:p w:rsidR="00D069C7" w:rsidRDefault="00D069C7" w:rsidP="00D0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3DE2" w:rsidRPr="00D96C57" w:rsidRDefault="00883DE2" w:rsidP="00D0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6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 ЗАЯВКА</w:t>
      </w: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______________________________________</w:t>
      </w:r>
      <w:r w:rsidR="00D069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96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83DE2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туристском слете работников образовательных организаций г. Сочи, проводимом </w:t>
      </w:r>
      <w:r w:rsidR="00D06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9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9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9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3083"/>
      </w:tblGrid>
      <w:tr w:rsidR="000C2603" w:rsidTr="00D069C7">
        <w:tc>
          <w:tcPr>
            <w:tcW w:w="675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 И О </w:t>
            </w:r>
          </w:p>
        </w:tc>
        <w:tc>
          <w:tcPr>
            <w:tcW w:w="2268" w:type="dxa"/>
          </w:tcPr>
          <w:p w:rsidR="000C2603" w:rsidRDefault="000C2603" w:rsidP="000C26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т</w:t>
            </w:r>
            <w:proofErr w:type="gramEnd"/>
            <w:r>
              <w:rPr>
                <w:b/>
                <w:sz w:val="24"/>
                <w:szCs w:val="24"/>
              </w:rPr>
              <w:t xml:space="preserve">елефон </w:t>
            </w:r>
          </w:p>
        </w:tc>
        <w:tc>
          <w:tcPr>
            <w:tcW w:w="3083" w:type="dxa"/>
          </w:tcPr>
          <w:p w:rsidR="000C2603" w:rsidRDefault="00D5072C" w:rsidP="00D507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Необходимое с</w:t>
            </w:r>
            <w:r w:rsidR="000C2603" w:rsidRPr="00D5072C">
              <w:rPr>
                <w:b/>
                <w:sz w:val="24"/>
                <w:szCs w:val="24"/>
              </w:rPr>
              <w:t>наряжение</w:t>
            </w:r>
            <w:r w:rsidR="000C260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C2603" w:rsidTr="00D069C7">
        <w:tc>
          <w:tcPr>
            <w:tcW w:w="675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2603" w:rsidTr="00D069C7">
        <w:tc>
          <w:tcPr>
            <w:tcW w:w="675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2603" w:rsidTr="00D069C7">
        <w:tc>
          <w:tcPr>
            <w:tcW w:w="675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0C2603" w:rsidRDefault="000C2603" w:rsidP="00883DE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C2603" w:rsidRPr="00D96C57" w:rsidRDefault="000C2603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E2" w:rsidRPr="00D96C57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E2" w:rsidRPr="00D96C57" w:rsidRDefault="00883DE2" w:rsidP="00883D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2.</w:t>
      </w:r>
    </w:p>
    <w:p w:rsidR="00883DE2" w:rsidRPr="00D96C57" w:rsidRDefault="00883DE2" w:rsidP="0088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6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ИМЕННАЯ  ЗАЯВКА</w:t>
      </w: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команды</w:t>
      </w:r>
      <w:r w:rsidRPr="00D9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 </w:t>
      </w:r>
    </w:p>
    <w:p w:rsidR="00883DE2" w:rsidRPr="00D96C57" w:rsidRDefault="00883DE2" w:rsidP="00883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туристском слете работников образовательных организаций г. Сочи, проводимом с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9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9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9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883DE2" w:rsidRPr="00D96C57" w:rsidRDefault="00883DE2" w:rsidP="0088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97"/>
        <w:gridCol w:w="951"/>
        <w:gridCol w:w="1837"/>
        <w:gridCol w:w="1401"/>
        <w:gridCol w:w="3162"/>
      </w:tblGrid>
      <w:tr w:rsidR="00883DE2" w:rsidRPr="00D96C57" w:rsidTr="0025281B">
        <w:tc>
          <w:tcPr>
            <w:tcW w:w="458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7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51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</w:t>
            </w:r>
            <w:proofErr w:type="spellEnd"/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работы,</w:t>
            </w:r>
          </w:p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1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</w:t>
            </w:r>
          </w:p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профсоюза</w:t>
            </w:r>
          </w:p>
        </w:tc>
        <w:tc>
          <w:tcPr>
            <w:tcW w:w="3162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Домашний </w:t>
            </w:r>
          </w:p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883DE2" w:rsidRPr="00D96C57" w:rsidTr="0025281B">
        <w:tc>
          <w:tcPr>
            <w:tcW w:w="458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DE2" w:rsidRPr="00D96C57" w:rsidTr="0025281B">
        <w:tc>
          <w:tcPr>
            <w:tcW w:w="458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883DE2" w:rsidRPr="00D96C57" w:rsidRDefault="00883DE2" w:rsidP="002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соревнованиям _________ человек.</w:t>
      </w: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</w:t>
      </w:r>
      <w:r w:rsidRPr="00D96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команды</w:t>
      </w:r>
      <w:proofErr w:type="gramStart"/>
      <w:r w:rsidRPr="00D9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     ( _____________________ ) </w:t>
      </w:r>
      <w:proofErr w:type="gramEnd"/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D96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                                 (Ф.И.О.)</w:t>
      </w:r>
    </w:p>
    <w:p w:rsidR="00883DE2" w:rsidRPr="00D96C57" w:rsidRDefault="00883DE2" w:rsidP="00883D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3DE2" w:rsidRPr="00454F1F" w:rsidRDefault="00883DE2" w:rsidP="00883DE2">
      <w:pPr>
        <w:spacing w:after="0" w:line="240" w:lineRule="auto"/>
        <w:ind w:firstLine="284"/>
        <w:rPr>
          <w:b/>
          <w:i/>
        </w:rPr>
      </w:pPr>
      <w:r w:rsidRPr="00454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каждого участника прикладывается  мед</w:t>
      </w:r>
      <w:proofErr w:type="gramStart"/>
      <w:r w:rsidRPr="00454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454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454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454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правка  и Приказ организации</w:t>
      </w:r>
    </w:p>
    <w:p w:rsidR="00A646C5" w:rsidRDefault="00A646C5"/>
    <w:sectPr w:rsidR="00A646C5" w:rsidSect="006A765C">
      <w:headerReference w:type="even" r:id="rId11"/>
      <w:headerReference w:type="default" r:id="rId12"/>
      <w:pgSz w:w="11906" w:h="16838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E2" w:rsidRDefault="004949E2">
      <w:pPr>
        <w:spacing w:after="0" w:line="240" w:lineRule="auto"/>
      </w:pPr>
      <w:r>
        <w:separator/>
      </w:r>
    </w:p>
  </w:endnote>
  <w:endnote w:type="continuationSeparator" w:id="0">
    <w:p w:rsidR="004949E2" w:rsidRDefault="0049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E2" w:rsidRDefault="004949E2">
      <w:pPr>
        <w:spacing w:after="0" w:line="240" w:lineRule="auto"/>
      </w:pPr>
      <w:r>
        <w:separator/>
      </w:r>
    </w:p>
  </w:footnote>
  <w:footnote w:type="continuationSeparator" w:id="0">
    <w:p w:rsidR="004949E2" w:rsidRDefault="0049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D1" w:rsidRDefault="00883D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856D1" w:rsidRDefault="00494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D1" w:rsidRDefault="00883D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CE7">
      <w:rPr>
        <w:rStyle w:val="a5"/>
        <w:noProof/>
      </w:rPr>
      <w:t>2</w:t>
    </w:r>
    <w:r>
      <w:rPr>
        <w:rStyle w:val="a5"/>
      </w:rPr>
      <w:fldChar w:fldCharType="end"/>
    </w:r>
  </w:p>
  <w:p w:rsidR="009856D1" w:rsidRDefault="004949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E2"/>
    <w:rsid w:val="000C2603"/>
    <w:rsid w:val="001109F6"/>
    <w:rsid w:val="004949E2"/>
    <w:rsid w:val="00530CE7"/>
    <w:rsid w:val="007E0033"/>
    <w:rsid w:val="00883DE2"/>
    <w:rsid w:val="009721F1"/>
    <w:rsid w:val="009808A0"/>
    <w:rsid w:val="00A646C5"/>
    <w:rsid w:val="00A70288"/>
    <w:rsid w:val="00D069C7"/>
    <w:rsid w:val="00D5072C"/>
    <w:rsid w:val="00D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DE2"/>
  </w:style>
  <w:style w:type="character" w:styleId="a5">
    <w:name w:val="page number"/>
    <w:basedOn w:val="a0"/>
    <w:rsid w:val="00883DE2"/>
  </w:style>
  <w:style w:type="table" w:styleId="a6">
    <w:name w:val="Table Grid"/>
    <w:basedOn w:val="a1"/>
    <w:rsid w:val="0088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DE2"/>
  </w:style>
  <w:style w:type="character" w:styleId="a5">
    <w:name w:val="page number"/>
    <w:basedOn w:val="a0"/>
    <w:rsid w:val="00883DE2"/>
  </w:style>
  <w:style w:type="table" w:styleId="a6">
    <w:name w:val="Table Grid"/>
    <w:basedOn w:val="a1"/>
    <w:rsid w:val="0088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User</cp:lastModifiedBy>
  <cp:revision>2</cp:revision>
  <cp:lastPrinted>2021-08-24T07:42:00Z</cp:lastPrinted>
  <dcterms:created xsi:type="dcterms:W3CDTF">2021-08-24T07:44:00Z</dcterms:created>
  <dcterms:modified xsi:type="dcterms:W3CDTF">2021-08-24T07:44:00Z</dcterms:modified>
</cp:coreProperties>
</file>